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9C" w:rsidRDefault="00F6107A" w:rsidP="00BF399C">
      <w:pPr>
        <w:rPr>
          <w:rFonts w:hint="cs"/>
          <w:rtl/>
        </w:rPr>
      </w:pPr>
      <w:r>
        <w:rPr>
          <w:rFonts w:hint="cs"/>
          <w:rtl/>
        </w:rPr>
        <w:t>הבעת</w:t>
      </w:r>
      <w:r w:rsidR="00BF399C">
        <w:rPr>
          <w:rFonts w:hint="cs"/>
          <w:rtl/>
        </w:rPr>
        <w:t xml:space="preserve"> עמדה - מדריך למורה</w:t>
      </w:r>
    </w:p>
    <w:p w:rsidR="00BF399C" w:rsidRDefault="00BF399C" w:rsidP="00BF399C">
      <w:pPr>
        <w:rPr>
          <w:rFonts w:hint="cs"/>
          <w:rtl/>
        </w:rPr>
      </w:pPr>
    </w:p>
    <w:tbl>
      <w:tblPr>
        <w:bidiVisual/>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7707"/>
      </w:tblGrid>
      <w:tr w:rsidR="00BF399C" w:rsidTr="005E4888">
        <w:tblPrEx>
          <w:tblCellMar>
            <w:top w:w="0" w:type="dxa"/>
            <w:bottom w:w="0" w:type="dxa"/>
          </w:tblCellMar>
        </w:tblPrEx>
        <w:tc>
          <w:tcPr>
            <w:tcW w:w="991" w:type="dxa"/>
          </w:tcPr>
          <w:p w:rsidR="00BF399C" w:rsidRDefault="00BF399C" w:rsidP="005E4888">
            <w:pPr>
              <w:rPr>
                <w:rFonts w:hint="cs"/>
                <w:rtl/>
              </w:rPr>
            </w:pPr>
            <w:r>
              <w:rPr>
                <w:rFonts w:hint="cs"/>
                <w:rtl/>
              </w:rPr>
              <w:t>מה העניין?</w:t>
            </w:r>
          </w:p>
          <w:p w:rsidR="00BF399C" w:rsidRDefault="00BF399C" w:rsidP="005E4888">
            <w:pPr>
              <w:rPr>
                <w:rFonts w:hint="cs"/>
              </w:rPr>
            </w:pPr>
            <w:r>
              <w:rPr>
                <w:rFonts w:hint="cs"/>
                <w:rtl/>
              </w:rPr>
              <w:t>&lt;כותרת המדור&gt; &lt;קישור&gt;</w:t>
            </w:r>
          </w:p>
        </w:tc>
        <w:tc>
          <w:tcPr>
            <w:tcW w:w="7707" w:type="dxa"/>
          </w:tcPr>
          <w:p w:rsidR="00BF399C" w:rsidRDefault="00BF399C" w:rsidP="00F6107A">
            <w:pPr>
              <w:rPr>
                <w:rFonts w:hint="cs"/>
                <w:rtl/>
              </w:rPr>
            </w:pPr>
            <w:r>
              <w:rPr>
                <w:rFonts w:hint="cs"/>
                <w:rtl/>
              </w:rPr>
              <w:t xml:space="preserve">לפי תוכנית הלימודים בחינוך לשוני יש ללמד את התלמידים לטעון </w:t>
            </w:r>
            <w:r>
              <w:rPr>
                <w:rFonts w:hint="cs"/>
                <w:b/>
                <w:bCs/>
                <w:rtl/>
              </w:rPr>
              <w:t xml:space="preserve">טענות </w:t>
            </w:r>
            <w:r>
              <w:rPr>
                <w:rFonts w:hint="cs"/>
                <w:rtl/>
              </w:rPr>
              <w:t>ולנסות</w:t>
            </w:r>
            <w:r>
              <w:rPr>
                <w:rFonts w:hint="cs"/>
                <w:b/>
                <w:bCs/>
                <w:rtl/>
              </w:rPr>
              <w:t xml:space="preserve"> לשכנע</w:t>
            </w:r>
            <w:r>
              <w:rPr>
                <w:rFonts w:hint="cs"/>
                <w:rtl/>
              </w:rPr>
              <w:t xml:space="preserve">. </w:t>
            </w:r>
            <w:r w:rsidR="00F6107A">
              <w:rPr>
                <w:rFonts w:hint="cs"/>
                <w:b/>
                <w:bCs/>
                <w:rtl/>
              </w:rPr>
              <w:t>הבעת</w:t>
            </w:r>
            <w:r>
              <w:rPr>
                <w:rFonts w:hint="cs"/>
                <w:b/>
                <w:bCs/>
                <w:rtl/>
              </w:rPr>
              <w:t xml:space="preserve"> עמדה</w:t>
            </w:r>
            <w:r>
              <w:rPr>
                <w:rFonts w:hint="cs"/>
                <w:rtl/>
              </w:rPr>
              <w:t xml:space="preserve"> ה</w:t>
            </w:r>
            <w:r w:rsidR="00F6107A">
              <w:rPr>
                <w:rFonts w:hint="cs"/>
                <w:rtl/>
              </w:rPr>
              <w:t>י</w:t>
            </w:r>
            <w:r>
              <w:rPr>
                <w:rFonts w:hint="cs"/>
                <w:rtl/>
              </w:rPr>
              <w:t xml:space="preserve">א אחת מן הדרכים לטעון טענה ולשכנע. ברור שהטענה תקפה רק אם מוכיחים אותה. לא רצוי לעודד את התלמידים לזרוק טענות לחלל הכיתה, אלא להדגיש שהם חייבים לפרט </w:t>
            </w:r>
            <w:r>
              <w:rPr>
                <w:rFonts w:hint="cs"/>
                <w:b/>
                <w:bCs/>
                <w:rtl/>
              </w:rPr>
              <w:t>נימוקים</w:t>
            </w:r>
            <w:r>
              <w:rPr>
                <w:rFonts w:hint="cs"/>
                <w:rtl/>
              </w:rPr>
              <w:t xml:space="preserve">, </w:t>
            </w:r>
            <w:r>
              <w:rPr>
                <w:rFonts w:hint="cs"/>
                <w:b/>
                <w:bCs/>
                <w:rtl/>
              </w:rPr>
              <w:t>הוכחות</w:t>
            </w:r>
            <w:r>
              <w:rPr>
                <w:rFonts w:hint="cs"/>
                <w:rtl/>
              </w:rPr>
              <w:t xml:space="preserve"> </w:t>
            </w:r>
            <w:r>
              <w:rPr>
                <w:rFonts w:hint="cs"/>
                <w:b/>
                <w:bCs/>
                <w:rtl/>
              </w:rPr>
              <w:t>ואסמכתאות</w:t>
            </w:r>
            <w:r>
              <w:rPr>
                <w:rFonts w:hint="cs"/>
                <w:rtl/>
              </w:rPr>
              <w:t xml:space="preserve"> להצדקת טענתם.</w:t>
            </w:r>
          </w:p>
          <w:p w:rsidR="00BF399C" w:rsidRDefault="00BF399C" w:rsidP="005E4888">
            <w:pPr>
              <w:rPr>
                <w:rFonts w:hint="cs"/>
                <w:rtl/>
              </w:rPr>
            </w:pPr>
            <w:r>
              <w:rPr>
                <w:rFonts w:hint="cs"/>
                <w:rtl/>
              </w:rPr>
              <w:t xml:space="preserve">כדאי לעודד תלמידים להביע </w:t>
            </w:r>
            <w:r>
              <w:rPr>
                <w:rFonts w:hint="cs"/>
                <w:b/>
                <w:bCs/>
                <w:rtl/>
              </w:rPr>
              <w:t>עמדות מאוזנות</w:t>
            </w:r>
            <w:r>
              <w:rPr>
                <w:rFonts w:hint="cs"/>
                <w:rtl/>
              </w:rPr>
              <w:t xml:space="preserve"> (בעד ונגד) העניין הנדון. למשל, מה חיובי בקרטה, באכילת המבורגר או גלידה ומה שלילי? </w:t>
            </w:r>
          </w:p>
          <w:p w:rsidR="00BF399C" w:rsidRDefault="00BF399C" w:rsidP="005E4888">
            <w:pPr>
              <w:rPr>
                <w:rFonts w:hint="cs"/>
                <w:rtl/>
              </w:rPr>
            </w:pPr>
            <w:r>
              <w:rPr>
                <w:rFonts w:hint="cs"/>
                <w:rtl/>
              </w:rPr>
              <w:t xml:space="preserve">לשם חיזוק כושר הטיעון המאוזן רצוי ביותר להעמיד בפני התלמידים </w:t>
            </w:r>
            <w:r>
              <w:rPr>
                <w:rFonts w:hint="cs"/>
                <w:b/>
                <w:bCs/>
                <w:rtl/>
              </w:rPr>
              <w:t>דילמות</w:t>
            </w:r>
            <w:r>
              <w:rPr>
                <w:rFonts w:hint="cs"/>
                <w:rtl/>
              </w:rPr>
              <w:t xml:space="preserve">. </w:t>
            </w:r>
          </w:p>
          <w:p w:rsidR="00BF399C" w:rsidRDefault="00BF399C" w:rsidP="00F6107A">
            <w:pPr>
              <w:rPr>
                <w:rFonts w:hint="cs"/>
              </w:rPr>
            </w:pPr>
            <w:r>
              <w:rPr>
                <w:rFonts w:hint="cs"/>
                <w:rtl/>
              </w:rPr>
              <w:t xml:space="preserve">במדור "מה העניין?" מוצג בפני התלמידים </w:t>
            </w:r>
            <w:r w:rsidR="00F6107A">
              <w:rPr>
                <w:rFonts w:hint="cs"/>
                <w:rtl/>
              </w:rPr>
              <w:t>חיבור</w:t>
            </w:r>
            <w:r>
              <w:rPr>
                <w:rFonts w:hint="cs"/>
                <w:rtl/>
              </w:rPr>
              <w:t xml:space="preserve"> קצר בנושא א</w:t>
            </w:r>
            <w:r w:rsidR="00F6107A">
              <w:rPr>
                <w:rFonts w:hint="cs"/>
                <w:rtl/>
              </w:rPr>
              <w:t>ִ</w:t>
            </w:r>
            <w:r>
              <w:rPr>
                <w:rFonts w:hint="cs"/>
                <w:rtl/>
              </w:rPr>
              <w:t xml:space="preserve">גרוף. </w:t>
            </w:r>
            <w:r w:rsidR="00F6107A">
              <w:rPr>
                <w:rFonts w:hint="cs"/>
                <w:rtl/>
              </w:rPr>
              <w:t>חיבור</w:t>
            </w:r>
            <w:r>
              <w:rPr>
                <w:rFonts w:hint="cs"/>
                <w:rtl/>
              </w:rPr>
              <w:t xml:space="preserve"> נועד להציג בפני התלמידים </w:t>
            </w:r>
            <w:r w:rsidR="00F6107A">
              <w:rPr>
                <w:rFonts w:hint="cs"/>
                <w:rtl/>
              </w:rPr>
              <w:t xml:space="preserve">מבנה חיבור המביע </w:t>
            </w:r>
            <w:r>
              <w:rPr>
                <w:rFonts w:hint="cs"/>
                <w:rtl/>
              </w:rPr>
              <w:t>עמדה וכן לערוך להם הכרות עם המושגים "עמדה" ו"נימוק".</w:t>
            </w:r>
          </w:p>
        </w:tc>
      </w:tr>
      <w:tr w:rsidR="00BF399C" w:rsidTr="005E4888">
        <w:tblPrEx>
          <w:tblCellMar>
            <w:top w:w="0" w:type="dxa"/>
            <w:bottom w:w="0" w:type="dxa"/>
          </w:tblCellMar>
        </w:tblPrEx>
        <w:tc>
          <w:tcPr>
            <w:tcW w:w="991" w:type="dxa"/>
          </w:tcPr>
          <w:p w:rsidR="00BF399C" w:rsidRDefault="00BF399C" w:rsidP="005E4888">
            <w:pPr>
              <w:rPr>
                <w:rFonts w:hint="cs"/>
                <w:rtl/>
              </w:rPr>
            </w:pPr>
            <w:r>
              <w:rPr>
                <w:rFonts w:hint="cs"/>
                <w:rtl/>
              </w:rPr>
              <w:t xml:space="preserve">מתאמנים </w:t>
            </w:r>
          </w:p>
          <w:p w:rsidR="00BF399C" w:rsidRDefault="00BF399C" w:rsidP="005E4888">
            <w:pPr>
              <w:rPr>
                <w:rFonts w:hint="cs"/>
                <w:rtl/>
              </w:rPr>
            </w:pPr>
            <w:r>
              <w:rPr>
                <w:rFonts w:hint="cs"/>
                <w:rtl/>
              </w:rPr>
              <w:t>&lt;כותרת המדור&gt; &lt;קישור&gt;</w:t>
            </w:r>
          </w:p>
        </w:tc>
        <w:tc>
          <w:tcPr>
            <w:tcW w:w="7707" w:type="dxa"/>
          </w:tcPr>
          <w:p w:rsidR="00BF399C" w:rsidRDefault="00BF399C" w:rsidP="005E4888">
            <w:pPr>
              <w:rPr>
                <w:rFonts w:hint="cs"/>
              </w:rPr>
            </w:pPr>
            <w:r>
              <w:rPr>
                <w:rFonts w:hint="cs"/>
                <w:rtl/>
              </w:rPr>
              <w:t>מטרת מדור זה היא לחזק את ההבחנה בין נימוקים בעד לנימוקים נגד.  התלמידים מתבקשים לתרגל מיון של נימוקים בעד ונגד מבחנים.  וכן לכתוב בכוחות עצמם נימוקים בעד ונגד צפ</w:t>
            </w:r>
            <w:r w:rsidR="00F6107A">
              <w:rPr>
                <w:rFonts w:hint="cs"/>
                <w:rtl/>
              </w:rPr>
              <w:t>י</w:t>
            </w:r>
            <w:r>
              <w:rPr>
                <w:rFonts w:hint="cs"/>
                <w:rtl/>
              </w:rPr>
              <w:t>יה אכילת שוקולד.</w:t>
            </w:r>
          </w:p>
        </w:tc>
      </w:tr>
      <w:tr w:rsidR="00BF399C" w:rsidTr="005E4888">
        <w:tblPrEx>
          <w:tblCellMar>
            <w:top w:w="0" w:type="dxa"/>
            <w:bottom w:w="0" w:type="dxa"/>
          </w:tblCellMar>
        </w:tblPrEx>
        <w:tc>
          <w:tcPr>
            <w:tcW w:w="991" w:type="dxa"/>
          </w:tcPr>
          <w:p w:rsidR="00BF399C" w:rsidRDefault="00BF399C" w:rsidP="005E4888">
            <w:pPr>
              <w:rPr>
                <w:rFonts w:hint="cs"/>
                <w:rtl/>
              </w:rPr>
            </w:pPr>
            <w:r>
              <w:rPr>
                <w:rFonts w:hint="cs"/>
                <w:rtl/>
              </w:rPr>
              <w:t>קוראים</w:t>
            </w:r>
          </w:p>
          <w:p w:rsidR="00BF399C" w:rsidRDefault="00BF399C" w:rsidP="005E4888">
            <w:pPr>
              <w:rPr>
                <w:rFonts w:hint="cs"/>
              </w:rPr>
            </w:pPr>
            <w:r>
              <w:rPr>
                <w:rFonts w:hint="cs"/>
                <w:rtl/>
              </w:rPr>
              <w:t>&lt;כותרת המדור&gt;  &lt;קישור&gt;</w:t>
            </w:r>
          </w:p>
        </w:tc>
        <w:tc>
          <w:tcPr>
            <w:tcW w:w="7707" w:type="dxa"/>
          </w:tcPr>
          <w:p w:rsidR="00BF399C" w:rsidRDefault="00BF399C" w:rsidP="00F6107A">
            <w:pPr>
              <w:rPr>
                <w:rFonts w:hint="cs"/>
                <w:rtl/>
              </w:rPr>
            </w:pPr>
            <w:r>
              <w:rPr>
                <w:rFonts w:hint="cs"/>
                <w:rtl/>
              </w:rPr>
              <w:t xml:space="preserve">מדור "קוראים ומבינים" כולל </w:t>
            </w:r>
            <w:r w:rsidR="00F6107A">
              <w:rPr>
                <w:rFonts w:hint="cs"/>
                <w:rtl/>
              </w:rPr>
              <w:t>חיבור</w:t>
            </w:r>
            <w:r>
              <w:rPr>
                <w:rFonts w:hint="cs"/>
                <w:rtl/>
              </w:rPr>
              <w:t xml:space="preserve"> ארוך יותר בנושא תנועות נוער. </w:t>
            </w:r>
            <w:r w:rsidR="00F6107A">
              <w:rPr>
                <w:rFonts w:hint="cs"/>
                <w:rtl/>
              </w:rPr>
              <w:t>החיבור</w:t>
            </w:r>
            <w:r>
              <w:rPr>
                <w:rFonts w:hint="cs"/>
                <w:rtl/>
              </w:rPr>
              <w:t xml:space="preserve"> כולל דיון מאוזן ומציג נימוקים בעד ונגד הצטרפות לתנועות נוער. יש להפנות את תשומת ליבם של התלמידים לכך שלמרות שעמדתה של חמדה כלפי תנועות נוער היא חיובית, היא בכל זאת בוחרת להציג נימוקים לשני הצדדים ולכן הדיון שלה מאוזן. (אגב, תכונה זו של חמדה אינה שוללת את זכותה להביע, במקרים מסוימים עמדה חיובית לגמרי או שלילית לגמרי לגבי תופעה זו או אחרת, כפי שהיא עושה לגבי אגרוף).</w:t>
            </w:r>
          </w:p>
          <w:p w:rsidR="00BF399C" w:rsidRDefault="00BF399C" w:rsidP="00F6107A">
            <w:pPr>
              <w:rPr>
                <w:rFonts w:hint="cs"/>
              </w:rPr>
            </w:pPr>
            <w:r>
              <w:rPr>
                <w:rFonts w:hint="cs"/>
                <w:rtl/>
              </w:rPr>
              <w:t xml:space="preserve">התלמידים מתבקשים לקרוא את </w:t>
            </w:r>
            <w:r w:rsidR="00F6107A">
              <w:rPr>
                <w:rFonts w:hint="cs"/>
                <w:rtl/>
              </w:rPr>
              <w:t>החיבור</w:t>
            </w:r>
            <w:r>
              <w:rPr>
                <w:rFonts w:hint="cs"/>
                <w:rtl/>
              </w:rPr>
              <w:t xml:space="preserve"> ולהשיב על השאלות שבעקבותיו. </w:t>
            </w:r>
          </w:p>
        </w:tc>
      </w:tr>
      <w:tr w:rsidR="00BF399C" w:rsidTr="005E4888">
        <w:tblPrEx>
          <w:tblCellMar>
            <w:top w:w="0" w:type="dxa"/>
            <w:bottom w:w="0" w:type="dxa"/>
          </w:tblCellMar>
        </w:tblPrEx>
        <w:tc>
          <w:tcPr>
            <w:tcW w:w="991" w:type="dxa"/>
          </w:tcPr>
          <w:p w:rsidR="00BF399C" w:rsidRDefault="00BF399C" w:rsidP="005E4888">
            <w:pPr>
              <w:rPr>
                <w:rFonts w:hint="cs"/>
                <w:rtl/>
              </w:rPr>
            </w:pPr>
            <w:r>
              <w:rPr>
                <w:rFonts w:hint="cs"/>
                <w:rtl/>
              </w:rPr>
              <w:t xml:space="preserve">מסע בין אתרים </w:t>
            </w:r>
          </w:p>
          <w:p w:rsidR="00BF399C" w:rsidRDefault="00BF399C" w:rsidP="005E4888">
            <w:pPr>
              <w:rPr>
                <w:rFonts w:hint="cs"/>
              </w:rPr>
            </w:pPr>
            <w:r>
              <w:rPr>
                <w:rFonts w:hint="cs"/>
                <w:rtl/>
              </w:rPr>
              <w:t>&lt;כותרת המדור&gt; &lt;קישור&gt;</w:t>
            </w:r>
          </w:p>
        </w:tc>
        <w:tc>
          <w:tcPr>
            <w:tcW w:w="7707" w:type="dxa"/>
          </w:tcPr>
          <w:p w:rsidR="00BF399C" w:rsidRDefault="00BF399C" w:rsidP="00F6107A">
            <w:pPr>
              <w:rPr>
                <w:rFonts w:hint="cs"/>
              </w:rPr>
            </w:pPr>
            <w:r>
              <w:rPr>
                <w:rFonts w:hint="cs"/>
                <w:rtl/>
              </w:rPr>
              <w:t xml:space="preserve">במדור זה מוצגים בפני התלמידים מספר מקורות מידע מקוונים בנושא צמחונות. התלמידים מוזמנים לעיין במקורות (הם בוודאי לא צריכים לקרוא את כולם), ולכתוב עמדה בנושא צמחונות. חשוב להזכיר לתלמידים שעל </w:t>
            </w:r>
            <w:r w:rsidR="00F6107A">
              <w:rPr>
                <w:rFonts w:hint="cs"/>
                <w:rtl/>
              </w:rPr>
              <w:t>החיבור</w:t>
            </w:r>
            <w:r>
              <w:rPr>
                <w:rFonts w:hint="cs"/>
                <w:rtl/>
              </w:rPr>
              <w:t xml:space="preserve"> שלהם להציג עמדה (או עמדות) לגבי צמחונות וכן נימוקים. </w:t>
            </w:r>
          </w:p>
        </w:tc>
      </w:tr>
      <w:tr w:rsidR="00BF399C" w:rsidTr="005E4888">
        <w:tblPrEx>
          <w:tblCellMar>
            <w:top w:w="0" w:type="dxa"/>
            <w:bottom w:w="0" w:type="dxa"/>
          </w:tblCellMar>
        </w:tblPrEx>
        <w:tc>
          <w:tcPr>
            <w:tcW w:w="991" w:type="dxa"/>
          </w:tcPr>
          <w:p w:rsidR="00BF399C" w:rsidRDefault="00BF399C" w:rsidP="005E4888">
            <w:pPr>
              <w:rPr>
                <w:rFonts w:hint="cs"/>
                <w:rtl/>
              </w:rPr>
            </w:pPr>
            <w:r>
              <w:rPr>
                <w:rFonts w:hint="cs"/>
                <w:rtl/>
              </w:rPr>
              <w:t xml:space="preserve">יוצרים </w:t>
            </w:r>
          </w:p>
          <w:p w:rsidR="00BF399C" w:rsidRDefault="00BF399C" w:rsidP="005E4888">
            <w:pPr>
              <w:rPr>
                <w:rFonts w:hint="cs"/>
              </w:rPr>
            </w:pPr>
            <w:r>
              <w:rPr>
                <w:rFonts w:hint="cs"/>
                <w:rtl/>
              </w:rPr>
              <w:t>&lt;כותרת המדור&gt; &lt;קישור&gt;</w:t>
            </w:r>
          </w:p>
        </w:tc>
        <w:tc>
          <w:tcPr>
            <w:tcW w:w="7707" w:type="dxa"/>
          </w:tcPr>
          <w:p w:rsidR="00BF399C" w:rsidRDefault="00BF399C" w:rsidP="00F6107A">
            <w:pPr>
              <w:rPr>
                <w:rFonts w:hint="cs"/>
              </w:rPr>
            </w:pPr>
            <w:r>
              <w:rPr>
                <w:rFonts w:hint="cs"/>
                <w:rtl/>
              </w:rPr>
              <w:t xml:space="preserve">במדור ה"יצירה האישית" מתבקשים התלמידים </w:t>
            </w:r>
            <w:r w:rsidR="00F6107A">
              <w:rPr>
                <w:rFonts w:hint="cs"/>
                <w:rtl/>
              </w:rPr>
              <w:t>להביע</w:t>
            </w:r>
            <w:r>
              <w:rPr>
                <w:rFonts w:hint="cs"/>
                <w:rtl/>
              </w:rPr>
              <w:t xml:space="preserve"> עמדה המציג</w:t>
            </w:r>
            <w:r w:rsidR="00F6107A">
              <w:rPr>
                <w:rFonts w:hint="cs"/>
                <w:rtl/>
              </w:rPr>
              <w:t>ה</w:t>
            </w:r>
            <w:r>
              <w:rPr>
                <w:rFonts w:hint="cs"/>
                <w:rtl/>
              </w:rPr>
              <w:t xml:space="preserve"> </w:t>
            </w:r>
            <w:r>
              <w:rPr>
                <w:rFonts w:hint="cs"/>
                <w:b/>
                <w:bCs/>
                <w:rtl/>
              </w:rPr>
              <w:t>עמדה הפוכה</w:t>
            </w:r>
            <w:r>
              <w:rPr>
                <w:rFonts w:hint="cs"/>
                <w:rtl/>
              </w:rPr>
              <w:t xml:space="preserve"> לעמדתם. תרגיל זה נועד לעורר בתלמידים מודעות לכך שלכל מטבע יש שני צדדים ולפתח גמישו</w:t>
            </w:r>
            <w:r>
              <w:rPr>
                <w:rFonts w:hint="eastAsia"/>
                <w:rtl/>
              </w:rPr>
              <w:t>ת</w:t>
            </w:r>
            <w:r>
              <w:rPr>
                <w:rFonts w:hint="cs"/>
                <w:rtl/>
              </w:rPr>
              <w:t xml:space="preserve"> מחשבתית.</w:t>
            </w:r>
          </w:p>
        </w:tc>
      </w:tr>
      <w:tr w:rsidR="00BF399C" w:rsidTr="005E4888">
        <w:tblPrEx>
          <w:tblCellMar>
            <w:top w:w="0" w:type="dxa"/>
            <w:bottom w:w="0" w:type="dxa"/>
          </w:tblCellMar>
        </w:tblPrEx>
        <w:tc>
          <w:tcPr>
            <w:tcW w:w="991" w:type="dxa"/>
          </w:tcPr>
          <w:p w:rsidR="00BF399C" w:rsidRDefault="00BF399C" w:rsidP="005E4888">
            <w:pPr>
              <w:rPr>
                <w:rFonts w:hint="cs"/>
                <w:rtl/>
              </w:rPr>
            </w:pPr>
            <w:r>
              <w:rPr>
                <w:rFonts w:hint="cs"/>
                <w:rtl/>
              </w:rPr>
              <w:t xml:space="preserve">אתגר </w:t>
            </w:r>
          </w:p>
          <w:p w:rsidR="00BF399C" w:rsidRDefault="00BF399C" w:rsidP="005E4888">
            <w:pPr>
              <w:rPr>
                <w:rFonts w:hint="cs"/>
              </w:rPr>
            </w:pPr>
            <w:r>
              <w:rPr>
                <w:rFonts w:hint="cs"/>
                <w:rtl/>
              </w:rPr>
              <w:t>&lt;כותרת המדור&gt; &lt;קישור&gt;</w:t>
            </w:r>
          </w:p>
        </w:tc>
        <w:tc>
          <w:tcPr>
            <w:tcW w:w="7707" w:type="dxa"/>
          </w:tcPr>
          <w:p w:rsidR="00BF399C" w:rsidRDefault="00BF399C" w:rsidP="00B673A6">
            <w:pPr>
              <w:rPr>
                <w:rFonts w:hint="cs"/>
              </w:rPr>
            </w:pPr>
            <w:r>
              <w:rPr>
                <w:rFonts w:hint="cs"/>
                <w:rtl/>
              </w:rPr>
              <w:t xml:space="preserve">מדור האתגר מציע פעילות שכותרתה היא "פוסחים על </w:t>
            </w:r>
            <w:r w:rsidR="00B673A6">
              <w:rPr>
                <w:rFonts w:hint="cs"/>
                <w:rtl/>
              </w:rPr>
              <w:t>שתי</w:t>
            </w:r>
            <w:bookmarkStart w:id="0" w:name="_GoBack"/>
            <w:bookmarkEnd w:id="0"/>
            <w:r>
              <w:rPr>
                <w:rFonts w:hint="cs"/>
                <w:rtl/>
              </w:rPr>
              <w:t xml:space="preserve"> הסעיפים". התלמידים מתבקשים לכתוב </w:t>
            </w:r>
            <w:r w:rsidR="00F6107A">
              <w:rPr>
                <w:rFonts w:hint="cs"/>
                <w:rtl/>
              </w:rPr>
              <w:t>חיבור</w:t>
            </w:r>
            <w:r>
              <w:rPr>
                <w:rFonts w:hint="cs"/>
                <w:rtl/>
              </w:rPr>
              <w:t xml:space="preserve"> עמדה המציג נושא שבו הם מתלבטים. על </w:t>
            </w:r>
            <w:r w:rsidR="00F6107A">
              <w:rPr>
                <w:rFonts w:hint="cs"/>
                <w:rtl/>
              </w:rPr>
              <w:t>החיבור</w:t>
            </w:r>
            <w:r>
              <w:rPr>
                <w:rFonts w:hint="cs"/>
                <w:rtl/>
              </w:rPr>
              <w:t xml:space="preserve"> לכלול נימוקים לשני הצדדים ולהסביר את סיבת ההתלבטות. </w:t>
            </w:r>
          </w:p>
        </w:tc>
      </w:tr>
      <w:tr w:rsidR="00BF399C" w:rsidTr="005E4888">
        <w:tblPrEx>
          <w:tblCellMar>
            <w:top w:w="0" w:type="dxa"/>
            <w:bottom w:w="0" w:type="dxa"/>
          </w:tblCellMar>
        </w:tblPrEx>
        <w:tc>
          <w:tcPr>
            <w:tcW w:w="991" w:type="dxa"/>
          </w:tcPr>
          <w:p w:rsidR="00BF399C" w:rsidRDefault="00BF399C" w:rsidP="005E4888">
            <w:pPr>
              <w:rPr>
                <w:rFonts w:hint="cs"/>
                <w:rtl/>
              </w:rPr>
            </w:pPr>
            <w:r>
              <w:rPr>
                <w:rFonts w:hint="cs"/>
                <w:rtl/>
              </w:rPr>
              <w:t xml:space="preserve">משחקי מילים ושעשועי לשון </w:t>
            </w:r>
          </w:p>
          <w:p w:rsidR="00BF399C" w:rsidRDefault="00BF399C" w:rsidP="005E4888">
            <w:pPr>
              <w:rPr>
                <w:rFonts w:hint="cs"/>
                <w:rtl/>
              </w:rPr>
            </w:pPr>
            <w:r>
              <w:rPr>
                <w:rFonts w:hint="cs"/>
                <w:rtl/>
              </w:rPr>
              <w:t>&lt;כותרת המדור&gt; &lt;קישור&gt;</w:t>
            </w:r>
          </w:p>
        </w:tc>
        <w:tc>
          <w:tcPr>
            <w:tcW w:w="7707" w:type="dxa"/>
          </w:tcPr>
          <w:p w:rsidR="00BF399C" w:rsidRDefault="00BF399C" w:rsidP="00F6107A">
            <w:pPr>
              <w:rPr>
                <w:rFonts w:hint="cs"/>
                <w:rtl/>
              </w:rPr>
            </w:pPr>
            <w:r>
              <w:rPr>
                <w:rFonts w:hint="cs"/>
                <w:rtl/>
              </w:rPr>
              <w:t xml:space="preserve">מדור "שעשועי לשון" עוסק בשני נושאים לשוניים הקשורים בכתיבת עמדה: </w:t>
            </w:r>
            <w:r>
              <w:rPr>
                <w:rFonts w:hint="cs"/>
                <w:b/>
                <w:bCs/>
                <w:rtl/>
              </w:rPr>
              <w:t>מילות קישור</w:t>
            </w:r>
            <w:r>
              <w:rPr>
                <w:rFonts w:hint="cs"/>
                <w:rtl/>
              </w:rPr>
              <w:t xml:space="preserve"> </w:t>
            </w:r>
            <w:r>
              <w:rPr>
                <w:rFonts w:hint="cs"/>
                <w:b/>
                <w:bCs/>
                <w:rtl/>
              </w:rPr>
              <w:t>וניבים ופתגמים</w:t>
            </w:r>
            <w:r>
              <w:rPr>
                <w:rFonts w:hint="cs"/>
                <w:rtl/>
              </w:rPr>
              <w:t xml:space="preserve"> העוסקים בדיון ואופניו. </w:t>
            </w:r>
          </w:p>
          <w:p w:rsidR="00BF399C" w:rsidRDefault="00BF399C" w:rsidP="005E4888">
            <w:pPr>
              <w:rPr>
                <w:rFonts w:hint="cs"/>
                <w:rtl/>
              </w:rPr>
            </w:pPr>
            <w:r>
              <w:rPr>
                <w:rFonts w:hint="cs"/>
                <w:rtl/>
              </w:rPr>
              <w:t>מילות הקישור הן חלק חשוב בבניית רצף של טענות ונימוקים. התלמידים מוזמנים להשלים מילות קישור חסרות ולחבר בין  מילות קישור נרדפות.</w:t>
            </w:r>
          </w:p>
          <w:p w:rsidR="00BF399C" w:rsidRDefault="00F6107A" w:rsidP="00F6107A">
            <w:pPr>
              <w:rPr>
                <w:rFonts w:hint="cs"/>
                <w:rtl/>
              </w:rPr>
            </w:pPr>
            <w:r>
              <w:rPr>
                <w:rFonts w:hint="cs"/>
                <w:rtl/>
              </w:rPr>
              <w:t>אִ</w:t>
            </w:r>
            <w:r w:rsidR="00BF399C">
              <w:rPr>
                <w:rFonts w:hint="cs"/>
                <w:rtl/>
              </w:rPr>
              <w:t>מרות החכמים המוצגות בהמשך הפעילות הן א</w:t>
            </w:r>
            <w:r>
              <w:rPr>
                <w:rFonts w:hint="cs"/>
                <w:rtl/>
              </w:rPr>
              <w:t>ִ</w:t>
            </w:r>
            <w:r w:rsidR="00BF399C">
              <w:rPr>
                <w:rFonts w:hint="cs"/>
                <w:rtl/>
              </w:rPr>
              <w:t>מרות הלקוחות מהתנ"ך, המשנה, הגמרא ועוד. התלמידים מתבקשים להתאים בין הא</w:t>
            </w:r>
            <w:r>
              <w:rPr>
                <w:rFonts w:hint="cs"/>
                <w:rtl/>
              </w:rPr>
              <w:t>ִ</w:t>
            </w:r>
            <w:r w:rsidR="00BF399C">
              <w:rPr>
                <w:rFonts w:hint="cs"/>
                <w:rtl/>
              </w:rPr>
              <w:t>מרה לבין משמעותה. כדאי ללוות את הא</w:t>
            </w:r>
            <w:r>
              <w:rPr>
                <w:rFonts w:hint="cs"/>
                <w:rtl/>
              </w:rPr>
              <w:t>ִ</w:t>
            </w:r>
            <w:r w:rsidR="00BF399C">
              <w:rPr>
                <w:rFonts w:hint="cs"/>
                <w:rtl/>
              </w:rPr>
              <w:t>מרות הללו בהצגה ודוגמאות בכיתה.</w:t>
            </w:r>
          </w:p>
        </w:tc>
      </w:tr>
    </w:tbl>
    <w:p w:rsidR="00BF399C" w:rsidRDefault="00BF399C" w:rsidP="00BF399C">
      <w:pPr>
        <w:rPr>
          <w:rFonts w:hint="cs"/>
          <w:rtl/>
        </w:rPr>
      </w:pPr>
    </w:p>
    <w:p w:rsidR="00BF399C" w:rsidRDefault="00BF399C" w:rsidP="00BF399C">
      <w:pPr>
        <w:rPr>
          <w:rFonts w:hint="cs"/>
          <w:rtl/>
        </w:rPr>
      </w:pPr>
    </w:p>
    <w:p w:rsidR="00623608" w:rsidRDefault="00623608"/>
    <w:sectPr w:rsidR="00623608">
      <w:footerReference w:type="even" r:id="rId4"/>
      <w:footerReference w:type="default" r:id="rId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A7" w:rsidRDefault="00B673A6">
    <w:pPr>
      <w:pStyle w:val="a3"/>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end"/>
    </w:r>
  </w:p>
  <w:p w:rsidR="00C608A7" w:rsidRDefault="00B673A6">
    <w:pPr>
      <w:pStyle w:val="a3"/>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8A7" w:rsidRDefault="00B673A6">
    <w:pPr>
      <w:pStyle w:val="a3"/>
      <w:framePr w:wrap="around" w:vAnchor="text" w:hAnchor="margin" w:y="1"/>
      <w:rPr>
        <w:rStyle w:val="a5"/>
        <w:rtl/>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rsidR="00C608A7" w:rsidRDefault="00B673A6">
    <w:pPr>
      <w:pStyle w:val="a3"/>
      <w:ind w:right="360"/>
      <w:rPr>
        <w:rtl/>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9C"/>
    <w:rsid w:val="00000256"/>
    <w:rsid w:val="00001CAF"/>
    <w:rsid w:val="000033EB"/>
    <w:rsid w:val="00003945"/>
    <w:rsid w:val="0002084D"/>
    <w:rsid w:val="00021271"/>
    <w:rsid w:val="000376BD"/>
    <w:rsid w:val="0004127B"/>
    <w:rsid w:val="00044158"/>
    <w:rsid w:val="00045495"/>
    <w:rsid w:val="00051D3E"/>
    <w:rsid w:val="00053083"/>
    <w:rsid w:val="0006007A"/>
    <w:rsid w:val="00060942"/>
    <w:rsid w:val="000612A1"/>
    <w:rsid w:val="00066199"/>
    <w:rsid w:val="00067BD2"/>
    <w:rsid w:val="00070365"/>
    <w:rsid w:val="000723FA"/>
    <w:rsid w:val="000A3D1C"/>
    <w:rsid w:val="000A5205"/>
    <w:rsid w:val="000A68E5"/>
    <w:rsid w:val="000B06A8"/>
    <w:rsid w:val="000B0FC2"/>
    <w:rsid w:val="000B4F44"/>
    <w:rsid w:val="000D37D1"/>
    <w:rsid w:val="000D4BDB"/>
    <w:rsid w:val="000E6669"/>
    <w:rsid w:val="000F03B0"/>
    <w:rsid w:val="000F3598"/>
    <w:rsid w:val="000F4936"/>
    <w:rsid w:val="00100D1D"/>
    <w:rsid w:val="00102E51"/>
    <w:rsid w:val="001076C3"/>
    <w:rsid w:val="00116AC5"/>
    <w:rsid w:val="00120E68"/>
    <w:rsid w:val="0012429A"/>
    <w:rsid w:val="001275F2"/>
    <w:rsid w:val="001347C7"/>
    <w:rsid w:val="00146D24"/>
    <w:rsid w:val="00162C58"/>
    <w:rsid w:val="001657E7"/>
    <w:rsid w:val="00165ED1"/>
    <w:rsid w:val="00174B22"/>
    <w:rsid w:val="00174FAA"/>
    <w:rsid w:val="00175489"/>
    <w:rsid w:val="00185571"/>
    <w:rsid w:val="00190071"/>
    <w:rsid w:val="001A28CA"/>
    <w:rsid w:val="001B0EDB"/>
    <w:rsid w:val="001B2BAA"/>
    <w:rsid w:val="001B68A7"/>
    <w:rsid w:val="001C1487"/>
    <w:rsid w:val="001C2881"/>
    <w:rsid w:val="001C42E5"/>
    <w:rsid w:val="001C5E34"/>
    <w:rsid w:val="001D479D"/>
    <w:rsid w:val="001E3A3F"/>
    <w:rsid w:val="001F49D5"/>
    <w:rsid w:val="001F5D38"/>
    <w:rsid w:val="001F68AF"/>
    <w:rsid w:val="00213B53"/>
    <w:rsid w:val="00216CBD"/>
    <w:rsid w:val="002200C1"/>
    <w:rsid w:val="00232E27"/>
    <w:rsid w:val="002409DF"/>
    <w:rsid w:val="002416A0"/>
    <w:rsid w:val="002462FB"/>
    <w:rsid w:val="002570C9"/>
    <w:rsid w:val="00260FA7"/>
    <w:rsid w:val="00275302"/>
    <w:rsid w:val="002908D8"/>
    <w:rsid w:val="00291E0B"/>
    <w:rsid w:val="00292FA8"/>
    <w:rsid w:val="002945EF"/>
    <w:rsid w:val="002959B1"/>
    <w:rsid w:val="0029664A"/>
    <w:rsid w:val="002A3A44"/>
    <w:rsid w:val="002A7CE2"/>
    <w:rsid w:val="002B0920"/>
    <w:rsid w:val="002B1EAF"/>
    <w:rsid w:val="002B22B2"/>
    <w:rsid w:val="002B3C8C"/>
    <w:rsid w:val="002B5837"/>
    <w:rsid w:val="002B72E1"/>
    <w:rsid w:val="002B790B"/>
    <w:rsid w:val="002C0BAD"/>
    <w:rsid w:val="002D2C19"/>
    <w:rsid w:val="002D6955"/>
    <w:rsid w:val="002E5449"/>
    <w:rsid w:val="002F34B6"/>
    <w:rsid w:val="00304506"/>
    <w:rsid w:val="00304DD0"/>
    <w:rsid w:val="00304E36"/>
    <w:rsid w:val="00314E6D"/>
    <w:rsid w:val="00331907"/>
    <w:rsid w:val="00336DDE"/>
    <w:rsid w:val="0034195D"/>
    <w:rsid w:val="00365B2C"/>
    <w:rsid w:val="003776BF"/>
    <w:rsid w:val="00392D25"/>
    <w:rsid w:val="0039379A"/>
    <w:rsid w:val="003961C9"/>
    <w:rsid w:val="003A236B"/>
    <w:rsid w:val="003A2C30"/>
    <w:rsid w:val="003A762A"/>
    <w:rsid w:val="003B4680"/>
    <w:rsid w:val="003B52C4"/>
    <w:rsid w:val="003C3D7D"/>
    <w:rsid w:val="003C53E5"/>
    <w:rsid w:val="003D71A2"/>
    <w:rsid w:val="0040446C"/>
    <w:rsid w:val="00404D94"/>
    <w:rsid w:val="004067F3"/>
    <w:rsid w:val="00416D6F"/>
    <w:rsid w:val="00420FA5"/>
    <w:rsid w:val="00423A0B"/>
    <w:rsid w:val="0043062B"/>
    <w:rsid w:val="0043088D"/>
    <w:rsid w:val="00444001"/>
    <w:rsid w:val="00444F3D"/>
    <w:rsid w:val="004453D4"/>
    <w:rsid w:val="00453114"/>
    <w:rsid w:val="00455728"/>
    <w:rsid w:val="00460A07"/>
    <w:rsid w:val="00465952"/>
    <w:rsid w:val="00476391"/>
    <w:rsid w:val="00480583"/>
    <w:rsid w:val="0049202E"/>
    <w:rsid w:val="00492E50"/>
    <w:rsid w:val="004A231D"/>
    <w:rsid w:val="004A337B"/>
    <w:rsid w:val="004A3729"/>
    <w:rsid w:val="004A5249"/>
    <w:rsid w:val="004B3062"/>
    <w:rsid w:val="004B4C06"/>
    <w:rsid w:val="004B7195"/>
    <w:rsid w:val="004C1012"/>
    <w:rsid w:val="004F0E83"/>
    <w:rsid w:val="004F14B9"/>
    <w:rsid w:val="004F711F"/>
    <w:rsid w:val="00510A84"/>
    <w:rsid w:val="00515275"/>
    <w:rsid w:val="00515FE0"/>
    <w:rsid w:val="005211C8"/>
    <w:rsid w:val="00524292"/>
    <w:rsid w:val="005316F9"/>
    <w:rsid w:val="005321EE"/>
    <w:rsid w:val="0054198E"/>
    <w:rsid w:val="005431F9"/>
    <w:rsid w:val="00554C41"/>
    <w:rsid w:val="00555F1C"/>
    <w:rsid w:val="00557861"/>
    <w:rsid w:val="0056682E"/>
    <w:rsid w:val="00575206"/>
    <w:rsid w:val="00596A7F"/>
    <w:rsid w:val="005A1877"/>
    <w:rsid w:val="005A2D10"/>
    <w:rsid w:val="005B3E14"/>
    <w:rsid w:val="005B5CAF"/>
    <w:rsid w:val="005C07B7"/>
    <w:rsid w:val="005C2F79"/>
    <w:rsid w:val="005C538F"/>
    <w:rsid w:val="005D6A8B"/>
    <w:rsid w:val="005D7AAA"/>
    <w:rsid w:val="005E5CD8"/>
    <w:rsid w:val="00603C78"/>
    <w:rsid w:val="00612D0F"/>
    <w:rsid w:val="00613887"/>
    <w:rsid w:val="00623608"/>
    <w:rsid w:val="0063116D"/>
    <w:rsid w:val="0063254D"/>
    <w:rsid w:val="00633EEC"/>
    <w:rsid w:val="0063703F"/>
    <w:rsid w:val="0065273D"/>
    <w:rsid w:val="00653108"/>
    <w:rsid w:val="006549F8"/>
    <w:rsid w:val="00661C2D"/>
    <w:rsid w:val="00667C87"/>
    <w:rsid w:val="006707E5"/>
    <w:rsid w:val="006726CD"/>
    <w:rsid w:val="00677255"/>
    <w:rsid w:val="006828D2"/>
    <w:rsid w:val="00690B16"/>
    <w:rsid w:val="00691965"/>
    <w:rsid w:val="00693EE0"/>
    <w:rsid w:val="00694992"/>
    <w:rsid w:val="006B354D"/>
    <w:rsid w:val="006B45A1"/>
    <w:rsid w:val="006B7446"/>
    <w:rsid w:val="006B7DCB"/>
    <w:rsid w:val="006C397C"/>
    <w:rsid w:val="006C4F3C"/>
    <w:rsid w:val="006D4E84"/>
    <w:rsid w:val="006D7A90"/>
    <w:rsid w:val="006E02FD"/>
    <w:rsid w:val="006E364E"/>
    <w:rsid w:val="006E6F8C"/>
    <w:rsid w:val="00702FC4"/>
    <w:rsid w:val="0070559B"/>
    <w:rsid w:val="0071143C"/>
    <w:rsid w:val="00717878"/>
    <w:rsid w:val="00731AA3"/>
    <w:rsid w:val="007558FD"/>
    <w:rsid w:val="00757FA4"/>
    <w:rsid w:val="00764F77"/>
    <w:rsid w:val="0077024C"/>
    <w:rsid w:val="00777C3B"/>
    <w:rsid w:val="0078214E"/>
    <w:rsid w:val="00785300"/>
    <w:rsid w:val="007909FD"/>
    <w:rsid w:val="00795703"/>
    <w:rsid w:val="007978EB"/>
    <w:rsid w:val="007A20CD"/>
    <w:rsid w:val="007A775B"/>
    <w:rsid w:val="007C544A"/>
    <w:rsid w:val="007D1EEA"/>
    <w:rsid w:val="007E01D8"/>
    <w:rsid w:val="007F11FD"/>
    <w:rsid w:val="007F6A00"/>
    <w:rsid w:val="007F791F"/>
    <w:rsid w:val="008124E8"/>
    <w:rsid w:val="00812C53"/>
    <w:rsid w:val="00826E7F"/>
    <w:rsid w:val="00831BA3"/>
    <w:rsid w:val="00837150"/>
    <w:rsid w:val="00846EBB"/>
    <w:rsid w:val="00847718"/>
    <w:rsid w:val="00854430"/>
    <w:rsid w:val="00860FC6"/>
    <w:rsid w:val="00861526"/>
    <w:rsid w:val="00864208"/>
    <w:rsid w:val="00872F62"/>
    <w:rsid w:val="0087577D"/>
    <w:rsid w:val="008776D9"/>
    <w:rsid w:val="00881FCA"/>
    <w:rsid w:val="008853B0"/>
    <w:rsid w:val="00895350"/>
    <w:rsid w:val="00896DEF"/>
    <w:rsid w:val="008A2650"/>
    <w:rsid w:val="008B0DF9"/>
    <w:rsid w:val="008B4E9D"/>
    <w:rsid w:val="008C234F"/>
    <w:rsid w:val="008C7CBB"/>
    <w:rsid w:val="008D0305"/>
    <w:rsid w:val="008D0F0E"/>
    <w:rsid w:val="008D4424"/>
    <w:rsid w:val="008E7622"/>
    <w:rsid w:val="008F1A4B"/>
    <w:rsid w:val="008F2EF4"/>
    <w:rsid w:val="00902D7D"/>
    <w:rsid w:val="00910265"/>
    <w:rsid w:val="00913D21"/>
    <w:rsid w:val="009145F0"/>
    <w:rsid w:val="00914AD7"/>
    <w:rsid w:val="009226CF"/>
    <w:rsid w:val="00930033"/>
    <w:rsid w:val="00940016"/>
    <w:rsid w:val="009517C2"/>
    <w:rsid w:val="009527EA"/>
    <w:rsid w:val="00966443"/>
    <w:rsid w:val="00967A98"/>
    <w:rsid w:val="00972775"/>
    <w:rsid w:val="009863F4"/>
    <w:rsid w:val="00997887"/>
    <w:rsid w:val="009A6258"/>
    <w:rsid w:val="009A779A"/>
    <w:rsid w:val="009B16CE"/>
    <w:rsid w:val="009B2638"/>
    <w:rsid w:val="009B6C72"/>
    <w:rsid w:val="009C57C2"/>
    <w:rsid w:val="009C799F"/>
    <w:rsid w:val="009D58DC"/>
    <w:rsid w:val="009E1D1B"/>
    <w:rsid w:val="009F405C"/>
    <w:rsid w:val="009F4B9B"/>
    <w:rsid w:val="00A01C08"/>
    <w:rsid w:val="00A1140E"/>
    <w:rsid w:val="00A11F34"/>
    <w:rsid w:val="00A21443"/>
    <w:rsid w:val="00A30FCD"/>
    <w:rsid w:val="00A32EDE"/>
    <w:rsid w:val="00A3414C"/>
    <w:rsid w:val="00A64B4F"/>
    <w:rsid w:val="00A64CFC"/>
    <w:rsid w:val="00A66670"/>
    <w:rsid w:val="00A83102"/>
    <w:rsid w:val="00AA64D3"/>
    <w:rsid w:val="00AD433B"/>
    <w:rsid w:val="00AE431C"/>
    <w:rsid w:val="00B006D8"/>
    <w:rsid w:val="00B10643"/>
    <w:rsid w:val="00B11959"/>
    <w:rsid w:val="00B235C3"/>
    <w:rsid w:val="00B317F9"/>
    <w:rsid w:val="00B37A51"/>
    <w:rsid w:val="00B43E9D"/>
    <w:rsid w:val="00B51834"/>
    <w:rsid w:val="00B673A6"/>
    <w:rsid w:val="00B67C5E"/>
    <w:rsid w:val="00B72DF8"/>
    <w:rsid w:val="00B743A4"/>
    <w:rsid w:val="00B745B0"/>
    <w:rsid w:val="00B7519D"/>
    <w:rsid w:val="00B80DBE"/>
    <w:rsid w:val="00B811BF"/>
    <w:rsid w:val="00B81BDE"/>
    <w:rsid w:val="00B92B6A"/>
    <w:rsid w:val="00BA1789"/>
    <w:rsid w:val="00BA2E05"/>
    <w:rsid w:val="00BA2F1B"/>
    <w:rsid w:val="00BC2472"/>
    <w:rsid w:val="00BC7352"/>
    <w:rsid w:val="00BD2B4E"/>
    <w:rsid w:val="00BD3E0F"/>
    <w:rsid w:val="00BD565E"/>
    <w:rsid w:val="00BD5F65"/>
    <w:rsid w:val="00BE7947"/>
    <w:rsid w:val="00BF399C"/>
    <w:rsid w:val="00BF6CFF"/>
    <w:rsid w:val="00C1168F"/>
    <w:rsid w:val="00C14787"/>
    <w:rsid w:val="00C24A74"/>
    <w:rsid w:val="00C26D9D"/>
    <w:rsid w:val="00C32D54"/>
    <w:rsid w:val="00C44C78"/>
    <w:rsid w:val="00C50BFE"/>
    <w:rsid w:val="00C54F1D"/>
    <w:rsid w:val="00C77357"/>
    <w:rsid w:val="00C80458"/>
    <w:rsid w:val="00C83284"/>
    <w:rsid w:val="00C86587"/>
    <w:rsid w:val="00C95C1F"/>
    <w:rsid w:val="00C96ADE"/>
    <w:rsid w:val="00CA00E8"/>
    <w:rsid w:val="00CC1957"/>
    <w:rsid w:val="00CD1373"/>
    <w:rsid w:val="00CD7EEA"/>
    <w:rsid w:val="00CE4D4F"/>
    <w:rsid w:val="00CF4AD8"/>
    <w:rsid w:val="00CF6C8A"/>
    <w:rsid w:val="00D02370"/>
    <w:rsid w:val="00D02F9D"/>
    <w:rsid w:val="00D046E7"/>
    <w:rsid w:val="00D0532B"/>
    <w:rsid w:val="00D15FD5"/>
    <w:rsid w:val="00D16280"/>
    <w:rsid w:val="00D17118"/>
    <w:rsid w:val="00D230AD"/>
    <w:rsid w:val="00D23C60"/>
    <w:rsid w:val="00D24ED0"/>
    <w:rsid w:val="00D3184E"/>
    <w:rsid w:val="00D5727A"/>
    <w:rsid w:val="00D61EA4"/>
    <w:rsid w:val="00D6680A"/>
    <w:rsid w:val="00D71CB4"/>
    <w:rsid w:val="00D7297C"/>
    <w:rsid w:val="00D8233A"/>
    <w:rsid w:val="00D90129"/>
    <w:rsid w:val="00D92670"/>
    <w:rsid w:val="00DB1AEB"/>
    <w:rsid w:val="00DB5B9F"/>
    <w:rsid w:val="00DB7BD0"/>
    <w:rsid w:val="00DE135C"/>
    <w:rsid w:val="00DE5B34"/>
    <w:rsid w:val="00DF0B94"/>
    <w:rsid w:val="00DF1787"/>
    <w:rsid w:val="00DF1A54"/>
    <w:rsid w:val="00DF5CCE"/>
    <w:rsid w:val="00DF7C7D"/>
    <w:rsid w:val="00E03316"/>
    <w:rsid w:val="00E06E1B"/>
    <w:rsid w:val="00E20145"/>
    <w:rsid w:val="00E230FA"/>
    <w:rsid w:val="00E23C7C"/>
    <w:rsid w:val="00E44424"/>
    <w:rsid w:val="00E72A83"/>
    <w:rsid w:val="00E85A48"/>
    <w:rsid w:val="00EA7541"/>
    <w:rsid w:val="00EB0248"/>
    <w:rsid w:val="00EC083F"/>
    <w:rsid w:val="00EC2675"/>
    <w:rsid w:val="00EC3B3E"/>
    <w:rsid w:val="00ED4607"/>
    <w:rsid w:val="00EF1C38"/>
    <w:rsid w:val="00EF7B06"/>
    <w:rsid w:val="00F02CE1"/>
    <w:rsid w:val="00F0483B"/>
    <w:rsid w:val="00F06564"/>
    <w:rsid w:val="00F128BA"/>
    <w:rsid w:val="00F27DDB"/>
    <w:rsid w:val="00F37A23"/>
    <w:rsid w:val="00F41A04"/>
    <w:rsid w:val="00F50220"/>
    <w:rsid w:val="00F6107A"/>
    <w:rsid w:val="00F67410"/>
    <w:rsid w:val="00F7436B"/>
    <w:rsid w:val="00F80D94"/>
    <w:rsid w:val="00FA29EE"/>
    <w:rsid w:val="00FA3E13"/>
    <w:rsid w:val="00FB42D1"/>
    <w:rsid w:val="00FE271F"/>
    <w:rsid w:val="00FE49F4"/>
    <w:rsid w:val="00FF29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FAEAB-90C2-48E9-B528-76EE2C1A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99C"/>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BF399C"/>
    <w:pPr>
      <w:tabs>
        <w:tab w:val="center" w:pos="4153"/>
        <w:tab w:val="right" w:pos="8306"/>
      </w:tabs>
    </w:pPr>
  </w:style>
  <w:style w:type="character" w:customStyle="1" w:styleId="a4">
    <w:name w:val="כותרת תחתונה תו"/>
    <w:basedOn w:val="a0"/>
    <w:link w:val="a3"/>
    <w:semiHidden/>
    <w:rsid w:val="00BF399C"/>
    <w:rPr>
      <w:rFonts w:ascii="Times New Roman" w:eastAsia="Times New Roman" w:hAnsi="Times New Roman" w:cs="Times New Roman"/>
      <w:sz w:val="24"/>
      <w:szCs w:val="24"/>
      <w:lang w:eastAsia="he-IL"/>
    </w:rPr>
  </w:style>
  <w:style w:type="character" w:styleId="a5">
    <w:name w:val="page number"/>
    <w:basedOn w:val="a0"/>
    <w:semiHidden/>
    <w:rsid w:val="00BF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433</Words>
  <Characters>2170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dc:creator>
  <cp:keywords/>
  <dc:description/>
  <cp:lastModifiedBy>Anat</cp:lastModifiedBy>
  <cp:revision>3</cp:revision>
  <dcterms:created xsi:type="dcterms:W3CDTF">2017-04-03T07:30:00Z</dcterms:created>
  <dcterms:modified xsi:type="dcterms:W3CDTF">2017-04-03T07:38:00Z</dcterms:modified>
</cp:coreProperties>
</file>